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3A" w:rsidRPr="00ED4C3A" w:rsidRDefault="00ED4C3A" w:rsidP="00ED4C3A">
      <w:pPr>
        <w:widowControl/>
        <w:shd w:val="clear" w:color="auto" w:fill="FFFFFF"/>
        <w:spacing w:line="600" w:lineRule="exact"/>
        <w:jc w:val="center"/>
        <w:outlineLvl w:val="1"/>
        <w:rPr>
          <w:rFonts w:asciiTheme="minorEastAsia" w:hAnsiTheme="minorEastAsia" w:cs="宋体"/>
          <w:b/>
          <w:color w:val="333333"/>
          <w:kern w:val="0"/>
          <w:sz w:val="36"/>
          <w:szCs w:val="36"/>
        </w:rPr>
      </w:pPr>
      <w:r w:rsidRPr="00ED4C3A">
        <w:rPr>
          <w:rFonts w:asciiTheme="minorEastAsia" w:hAnsiTheme="minorEastAsia" w:cs="宋体" w:hint="eastAsia"/>
          <w:b/>
          <w:color w:val="333333"/>
          <w:kern w:val="0"/>
          <w:sz w:val="36"/>
          <w:szCs w:val="36"/>
        </w:rPr>
        <w:t>中华人民共和国国务院令第738号</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《行政事业性国有资产管理条例》已经2020年12月30日国务院第120次常务会议通过，现予公布，自2021年4月1日起施行。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 xml:space="preserve">　总　</w:t>
      </w:r>
      <w:proofErr w:type="gramStart"/>
      <w:r w:rsidRPr="00ED4C3A">
        <w:rPr>
          <w:rFonts w:ascii="宋体" w:eastAsia="宋体" w:hAnsi="宋体" w:cs="宋体" w:hint="eastAsia"/>
          <w:color w:val="333333"/>
          <w:kern w:val="0"/>
          <w:sz w:val="24"/>
          <w:szCs w:val="24"/>
        </w:rPr>
        <w:t xml:space="preserve">理　　</w:t>
      </w:r>
      <w:proofErr w:type="gramEnd"/>
      <w:r w:rsidRPr="00ED4C3A">
        <w:rPr>
          <w:rFonts w:ascii="宋体" w:eastAsia="宋体" w:hAnsi="宋体" w:cs="宋体" w:hint="eastAsia"/>
          <w:color w:val="333333"/>
          <w:kern w:val="0"/>
          <w:sz w:val="24"/>
          <w:szCs w:val="24"/>
        </w:rPr>
        <w:t>李克强</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 xml:space="preserve">　2021年2月1日</w:t>
      </w:r>
    </w:p>
    <w:p w:rsidR="00ED4C3A" w:rsidRPr="00ED4C3A" w:rsidRDefault="00ED4C3A" w:rsidP="00ED4C3A">
      <w:pPr>
        <w:widowControl/>
        <w:shd w:val="clear" w:color="auto" w:fill="FFFFFF"/>
        <w:spacing w:line="600" w:lineRule="exact"/>
        <w:ind w:firstLineChars="200" w:firstLine="482"/>
        <w:jc w:val="center"/>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行政事业性国有资产管理条例</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第一章　总　则</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第一条　为了加强行政事业性国有资产管理与监督，健全国有资产管理体制，推进国家治理体系和治理能力现代化，根据全国人民代表大会常务委员会关于加强国有资产管理情况监督的决定，制定本条例。</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第二条　行政事业性国有资产，是指行政单位、事业单位通过以下方式取得或者形成的资产：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（一）使用财政资金形成的资产；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（二）接受调拨或者划转、置换形成的资产；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（三）接受捐赠并确认为国有的资产；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（四）其他国有资产。</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第三条　行政事业性国有资产属于国家所有，实行政府分级监管、各部门及其所属单位直接支配的管理体制。</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第四条　各级人民政府应当建立健全行政事业性国有资产管理机制，加强对本级行政事业性国有资产的管理，审查、批准重大行政事业性国有资产管理事项。</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第五条 国务院财政部门负责制定行政事业单位国有资产管理规章制度并负责组织实施和监督检查，牵头编制行政事业性国有资产管理情况报告。</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相关部门根据职责规定，按照集中统一、分类分级原则，加强中央行政事业单位国有资产管理，优化管理手段，提高管理效率。</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第六条　各部门根据职责负责本部门及其所属单位国有资产管理工作，应当明确管理责任，指导、监督所属单位国有资产管理工作。</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各部门所属单位负责本单位行政事业性国有资产的具体管理，应当建立和完善内部控制管理制度。</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第七条　各部门及其所属单位管理行政事业性国有资产应当遵循安全规范、节约高效、公开透明、权责一致的原则，实现实物管理与价值管理相统一，资产管理与预算管理、财务管理相结合。</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第二章　资产配置、使用和处置</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第八条　各部门及其所属单位应当根据依法履行职能和事业发展的需要，结合资产存量、资产配置标准、绩效目标和财政承受能力配置资产。</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第九条　各部门及其所属单位应当合理选择资产配置方式，资产配置重大事项应当经可行性研究和集体决策，资产价值较高的按照国家有关规定进行资产评估，并履行审批程序。</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资产配置包括调剂、购置、建设、租用、接受捐赠等方式。</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第十条　县级以上人民政府应当组织建立、完善资产配置标准体系，明确配置的数量、价值、等级、最低使用年限等标准。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资产配置标准应当按照勤俭节约、讲求绩效和绿色环保的要求，根据国家有关政策、经济社会发展水平、市场价格变化、科学技术进步等因素适时调整。</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第十一条　各部门及其所属单位应当优先通过调剂方式配置资产。不能调剂的，可以采用购置、建设、租用等方式。</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第十二条　行政单位国有资产应当用于本单位履行职能的需要。</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除法律另有规定外，行政单位不得以任何形式将国有资产用于对外投资或者设立营利性组织。</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第十三条　事业单位国有资产应当用于保障事业发展、提供公共服务。</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第十四条　各部门及其所属单位应当加强对本单位固定资产、在建工程、流动资产、无形资产等各类国有资产的管理，明确管理责任，规范使用流程，加强产权保护，推进相关资产安全有效使用。</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第十五条　各部门及其所属单位应当明确资产使用人和管理人的岗位责任。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资产使用人、管理人应当履行岗位责任，按照规程合理使用、管理资产，充分发挥资产效能。资产需要维修、保养、调剂、更新、报废的，资产使用人、管理人应当及时提出。</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资产使用人、管理人发生变化的，应当及时办理资产交接手续。</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第十六条　各部门及其所属单位接受捐赠的资产，应当按照捐赠约定的用途使用。捐赠人意愿不明确或者没有约定用途的，应当统筹安排使用。</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第十七条　事业单位利用国有资产对外投资应当有利于事业发展和实现国有资产保值增值，符合国家有关规定，经可行性研究和集体决策，按照规定权限和程序进行。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事业单位应当明确对外投资形成的股权及其相关权益管理责任，按照规定将对外投资形成的股权纳入经营性国有资产集中统一监管体系。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第十八条　县级以上人民政府及其有关部门应当建立健全国有资产共享共用机制，采取措施引导和鼓励国有资产共享共用，统筹规划有效推进国有资产共享共用工作。</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各部门及其所属单位应当在确保安全使用的前提下，推进本单位大型设备等国有资产共享共用工作，可以对提供方给予合理补偿。</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第十九条　各部门及其所属单位应当根据履行职能、事业发展需要和资产使用状况，经集体决策和履行审批程序，依据处置事项批复等相关文件及时处置行政事业性国有资产。</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第二十条　各部门及其所属单位应当将依法罚没的资产按照国家规定公开拍卖或者按照国家有关规定处理，所得款项全部上缴国库。</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第二十一条　各部门及其所属单位应当对下列资产及时予以报废、报损：</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（一）因技术原因确需淘汰或者无法维修、无维修价值的资产；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（二）涉及盘亏、坏账以及非</w:t>
      </w:r>
      <w:proofErr w:type="gramStart"/>
      <w:r w:rsidRPr="00ED4C3A">
        <w:rPr>
          <w:rFonts w:ascii="宋体" w:eastAsia="宋体" w:hAnsi="宋体" w:cs="宋体" w:hint="eastAsia"/>
          <w:color w:val="333333"/>
          <w:kern w:val="0"/>
          <w:sz w:val="24"/>
          <w:szCs w:val="24"/>
        </w:rPr>
        <w:t>正常损失</w:t>
      </w:r>
      <w:proofErr w:type="gramEnd"/>
      <w:r w:rsidRPr="00ED4C3A">
        <w:rPr>
          <w:rFonts w:ascii="宋体" w:eastAsia="宋体" w:hAnsi="宋体" w:cs="宋体" w:hint="eastAsia"/>
          <w:color w:val="333333"/>
          <w:kern w:val="0"/>
          <w:sz w:val="24"/>
          <w:szCs w:val="24"/>
        </w:rPr>
        <w:t>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（三）已超过使用年限且无法满足现有工作需要的资产；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（四）因自然灾害等不可抗力造成毁损、灭失的资产。</w:t>
      </w:r>
    </w:p>
    <w:p w:rsidR="00ED4C3A" w:rsidRPr="00ED4C3A" w:rsidRDefault="00ED4C3A" w:rsidP="00ED4C3A">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ED4C3A">
        <w:rPr>
          <w:rFonts w:ascii="宋体" w:eastAsia="宋体" w:hAnsi="宋体" w:cs="宋体" w:hint="eastAsia"/>
          <w:color w:val="333333"/>
          <w:kern w:val="0"/>
          <w:sz w:val="24"/>
          <w:szCs w:val="24"/>
        </w:rPr>
        <w:t>第二十二条　各部门及其所属单位发生分立、合并、改制、撤销、隶属关系改变或者部分职能、业务调整等情形，应当根据国家有关规定办理相关国有资产划转、交接手续。</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第二十三条　国家设立的研究开发机构、高等院校对其持有的科技成果的使用和处置，依照《中华人民共和国促进科技成果转化法》、《中华人民共和国专利法》和国家有关规定执行。</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第三章　预算管理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第二十四条　各部门及其所属单位购置、建设、租用资产应当提出资产配置需求，编制资产配置相关支出预算，并严格按照预算管理规定和财政部门批复的预算配置资产。</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第二十五条　行政单位国有资产出租和处置等收入，应当按照政府非税收入和国库集中收缴制度的有关规定管理。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除国家另有规定外，事业单位国有资产的处置收入应当按照政府非税收入和国库集中收缴制度的有关规定管理。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事业单位国有资产使用形成的收入，由本级人民政府财政部门规定具体管理办法。</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第二十六条　各部门及其所属单位应当及时收取各类资产收入，不得违反国家规定，多收、少收、不收、侵占、私分、截留、占用、挪用、隐匿、坐支。</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第二十七条　各部门及其所属单位应当在决算中全面、真实、准确反映其国有资产收入、支出以及国有资产存量情况。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第二十八条　各部门及其所属单位应当按照国家规定建立国有资产绩效管理制度，建立健全绩效指标和标准，有序开展国有资产绩效管理工作。</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第二十九条　县级以上人民政府投资建设公共基础设施，应当依法落实资金来源，加强预算约束，防范政府债务风险，并明确公共基础设施的管理维护责任单位。</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第四章　基础管理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第三十条　各部门及其所属单位应当按照国家规定设置行政事业性国有</w:t>
      </w:r>
      <w:proofErr w:type="gramStart"/>
      <w:r w:rsidRPr="00ED4C3A">
        <w:rPr>
          <w:rFonts w:ascii="宋体" w:eastAsia="宋体" w:hAnsi="宋体" w:cs="宋体" w:hint="eastAsia"/>
          <w:color w:val="333333"/>
          <w:kern w:val="0"/>
          <w:sz w:val="24"/>
          <w:szCs w:val="24"/>
        </w:rPr>
        <w:t>资产台</w:t>
      </w:r>
      <w:proofErr w:type="gramEnd"/>
      <w:r w:rsidRPr="00ED4C3A">
        <w:rPr>
          <w:rFonts w:ascii="宋体" w:eastAsia="宋体" w:hAnsi="宋体" w:cs="宋体" w:hint="eastAsia"/>
          <w:color w:val="333333"/>
          <w:kern w:val="0"/>
          <w:sz w:val="24"/>
          <w:szCs w:val="24"/>
        </w:rPr>
        <w:t>账，依照国家统一的会计制度进行会计核算，不得形成账外资产。</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第三十一条　各部门及其所属单位采用建设方式配置资产的，应当在建设项目竣工验收合格后及时办理资产交付手续，并在规定期限内办理竣工财务决算，期限最长不得超过1年。</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各部门及其所属单位对已交付但未办理竣工财务决算的建设项目，应当按照国家统一的会计制度确认资产价值。</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第三十二条　各部门及其所属单位对无法进行会计确认入账的资产，可以根据需要组织专家参照资产评估方法进行估价，并作为反映资产状况的依据。</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第三十三条　各部门及其所属单位应当明确资产的维护、保养、维修的岗位责任。因使用不当或者维护、保养、维修不及时造成资产损失的，应当依法承担责任。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第三十四条　各部门及其所属单位应当定期或者不定期对资产进行盘点、对账。出现资产盘盈盘亏的，应当按照财务、会计和资产管理制度有关规定处理，做到账实相符和账</w:t>
      </w:r>
      <w:proofErr w:type="gramStart"/>
      <w:r w:rsidRPr="00ED4C3A">
        <w:rPr>
          <w:rFonts w:ascii="宋体" w:eastAsia="宋体" w:hAnsi="宋体" w:cs="宋体" w:hint="eastAsia"/>
          <w:color w:val="333333"/>
          <w:kern w:val="0"/>
          <w:sz w:val="24"/>
          <w:szCs w:val="24"/>
        </w:rPr>
        <w:t>账</w:t>
      </w:r>
      <w:proofErr w:type="gramEnd"/>
      <w:r w:rsidRPr="00ED4C3A">
        <w:rPr>
          <w:rFonts w:ascii="宋体" w:eastAsia="宋体" w:hAnsi="宋体" w:cs="宋体" w:hint="eastAsia"/>
          <w:color w:val="333333"/>
          <w:kern w:val="0"/>
          <w:sz w:val="24"/>
          <w:szCs w:val="24"/>
        </w:rPr>
        <w:t>相符。</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第三十五条　各部门及其所属单位处置资产应当及时核销相关</w:t>
      </w:r>
      <w:proofErr w:type="gramStart"/>
      <w:r w:rsidRPr="00ED4C3A">
        <w:rPr>
          <w:rFonts w:ascii="宋体" w:eastAsia="宋体" w:hAnsi="宋体" w:cs="宋体" w:hint="eastAsia"/>
          <w:color w:val="333333"/>
          <w:kern w:val="0"/>
          <w:sz w:val="24"/>
          <w:szCs w:val="24"/>
        </w:rPr>
        <w:t>资产台</w:t>
      </w:r>
      <w:proofErr w:type="gramEnd"/>
      <w:r w:rsidRPr="00ED4C3A">
        <w:rPr>
          <w:rFonts w:ascii="宋体" w:eastAsia="宋体" w:hAnsi="宋体" w:cs="宋体" w:hint="eastAsia"/>
          <w:color w:val="333333"/>
          <w:kern w:val="0"/>
          <w:sz w:val="24"/>
          <w:szCs w:val="24"/>
        </w:rPr>
        <w:t>账信息，同时进行会计处理。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第三十六条　除国家另有规定外，各部门及其所属单位将行政事业性国有资产进行转让、拍卖、置换、对外投资等，应当按照国家有关规定进行资产评估。</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行政事业性国有资产以市场化方式出售、出租的，依照有关规定可以通过相应公共资源交易平台进行。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第三十七条　有下列情形之一的，各部门及其所属单位应当对行政事业性国有资产进行清查：</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（一）根据本级政府部署要求；</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（二）发生重大资产调拨、划转以及单位分立、合并、改制、撤销、隶属关系改变等情形；</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（三）因自然灾害等不可抗力造成资产毁损、灭失；</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（四）会计信息严重失真；</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（五）国家统一的会计制度发生重大变更，涉及资产核算方法发生重要变化；</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（六）其他应当进行资产清查的情形。</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第三十八条　各部门及其所属单位资产清查结果和涉及资产核实的事项，应当按照国务院财政部门的规定履行审批程序。</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第三十九条　各部门及其所属单位在资产清查中发现账实不符、账</w:t>
      </w:r>
      <w:proofErr w:type="gramStart"/>
      <w:r w:rsidRPr="00ED4C3A">
        <w:rPr>
          <w:rFonts w:ascii="宋体" w:eastAsia="宋体" w:hAnsi="宋体" w:cs="宋体" w:hint="eastAsia"/>
          <w:color w:val="333333"/>
          <w:kern w:val="0"/>
          <w:sz w:val="24"/>
          <w:szCs w:val="24"/>
        </w:rPr>
        <w:t>账</w:t>
      </w:r>
      <w:proofErr w:type="gramEnd"/>
      <w:r w:rsidRPr="00ED4C3A">
        <w:rPr>
          <w:rFonts w:ascii="宋体" w:eastAsia="宋体" w:hAnsi="宋体" w:cs="宋体" w:hint="eastAsia"/>
          <w:color w:val="333333"/>
          <w:kern w:val="0"/>
          <w:sz w:val="24"/>
          <w:szCs w:val="24"/>
        </w:rPr>
        <w:t>不符的，应当查明原因予以说明，并随同清查结果一并履行审批程序。各部门及其所属单位应当根据审批结果及时调整</w:t>
      </w:r>
      <w:proofErr w:type="gramStart"/>
      <w:r w:rsidRPr="00ED4C3A">
        <w:rPr>
          <w:rFonts w:ascii="宋体" w:eastAsia="宋体" w:hAnsi="宋体" w:cs="宋体" w:hint="eastAsia"/>
          <w:color w:val="333333"/>
          <w:kern w:val="0"/>
          <w:sz w:val="24"/>
          <w:szCs w:val="24"/>
        </w:rPr>
        <w:t>资产台</w:t>
      </w:r>
      <w:proofErr w:type="gramEnd"/>
      <w:r w:rsidRPr="00ED4C3A">
        <w:rPr>
          <w:rFonts w:ascii="宋体" w:eastAsia="宋体" w:hAnsi="宋体" w:cs="宋体" w:hint="eastAsia"/>
          <w:color w:val="333333"/>
          <w:kern w:val="0"/>
          <w:sz w:val="24"/>
          <w:szCs w:val="24"/>
        </w:rPr>
        <w:t>账信息，同时进行会计处理。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由于资产使用人、管理人的原因造成资产毁损、灭失的，应当依法追究相关责任。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第四十一条　各部门及其所属单位之间，各部门及其所属单位与其他单位和个人之间发生资产纠纷的，应当依照有关法律法规规定采取协商等方式处理。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第四十二条　国务院财政部门应当建立全国行政事业性国有资产管理信息系统，推行资产管理网上办理，实现信息共享。</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第五章　资产报告</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第四十三条　国家建立行政事业性国有资产管理情况报告制度。</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国务院向全国人民代表大会常务委员会报告全国行政事业性国有资产管理情况。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县级以上地方人民政府按照规定向本级人民代表大会常务委员会报告行政事业性国有资产管理情况。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第四十四条　行政事业性国有资产管理情况报告，主要包括资产负债总量，相关管理制度建立和实施，资产配置、使用、处置和效益，推进管理体制机制改革等情况。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行政事业性国有资产管理情况按照国家有关规定向社会公开。</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第四十五条　各部门所属单位应当每年编制本单位行政事业性国有资产管理情况报告，逐级报送相关部门。</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各部门应当汇总编制本部门行政事业性国有资产管理情况报告，报送本级政府财政部门。</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第四十六条　县级以上地方人民政府财政部门应当每年汇总本级和下级行政事业性国有资产管理情况，报送本级政府和上一级政府财政部门。</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第六章　监　督</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乡、民族乡、镇人民政府应当接受本级人民代表大会对行政事业性国有资产管理情况的监督。</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第四十八条　县级以上人民政府对下级政府的行政事业性国有资产管理情况进行监督。下级政府应当组织落实上一级政府提出的监管要求，并向上一级政府报告落实情况。</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第四十九条　县级以上人民政府财政部门应当对本级各部门及其所属单位行政事业性国有资产管理情况进行监督检查，依法向社会公开检查结果。</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第五十条　县级以上人民政府审计部门依法对行政事业性国有资产管理情况进行审计监督。</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第五十一条　各部门应当建立健全行政事业性国有资产监督管理制度，根据职责对本行业行政事业性国有资产管理依法进行监督。</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各部门所属单位应当制定行政事业性国有资产内部控制制度，防控行政事业性国有资产管理风险。</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第五十二条　公民、法人或者其他组织发现违反本条例的行为，有权向有关部门进行检举、控告。接受检举、控告的有关部门应当依法进行处理，并为检举人、控告人保密。</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任何单位或者个人不得压制和打击报复检举人、控告人。</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第七章　法律责任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第五十三条　各部门及其所属单位有下列行为之一的，责令改正，情节较重的，对负有直接责任的主管人员和其他直接责任人员依法给予处分：</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 xml:space="preserve">   </w:t>
      </w:r>
      <w:r w:rsidR="00ED4C3A" w:rsidRPr="00ED4C3A">
        <w:rPr>
          <w:rFonts w:ascii="宋体" w:eastAsia="宋体" w:hAnsi="宋体" w:cs="宋体" w:hint="eastAsia"/>
          <w:color w:val="333333"/>
          <w:kern w:val="0"/>
          <w:sz w:val="24"/>
          <w:szCs w:val="24"/>
        </w:rPr>
        <w:t>（一）配置、使用、处置国有资产未按照规定经集体决策或者履行审批程序；</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（二）超标准配置国有资产；</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（三）未按照规定办理国有资产调剂、调拨、划转、交接等手续；</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（四）未按照规定履行国有资产拍卖、报告、披露等程序；</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（五）未按照规定期限办理建设项目竣工财务决算；</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（六）未按照规定进行国有资产清查；</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（七）未按照规定设置国有</w:t>
      </w:r>
      <w:proofErr w:type="gramStart"/>
      <w:r w:rsidR="00ED4C3A" w:rsidRPr="00ED4C3A">
        <w:rPr>
          <w:rFonts w:ascii="宋体" w:eastAsia="宋体" w:hAnsi="宋体" w:cs="宋体" w:hint="eastAsia"/>
          <w:color w:val="333333"/>
          <w:kern w:val="0"/>
          <w:sz w:val="24"/>
          <w:szCs w:val="24"/>
        </w:rPr>
        <w:t>资产台</w:t>
      </w:r>
      <w:proofErr w:type="gramEnd"/>
      <w:r w:rsidR="00ED4C3A" w:rsidRPr="00ED4C3A">
        <w:rPr>
          <w:rFonts w:ascii="宋体" w:eastAsia="宋体" w:hAnsi="宋体" w:cs="宋体" w:hint="eastAsia"/>
          <w:color w:val="333333"/>
          <w:kern w:val="0"/>
          <w:sz w:val="24"/>
          <w:szCs w:val="24"/>
        </w:rPr>
        <w:t>账；</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（八）未按照规定编制、报送国有资产管理情况报告。</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第五十四条　各部门及其所属单位有下列行为之一的，责令改正，有违法所得的没收违法所得，情节较重的，对负有直接责任的主管人员和其他直接责任人员依法给予处分；构成犯罪的，依法追究刑事责任：</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（一）非法占有、使用国有资产或者采用弄虚作假等方式低价处置国有资产；</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（二）违反规定将国有资产用于对外投资或者设立营利性组织；</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（三）未按照规定评估国有资产导致国家利益损失；</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（四）其他违反本条例规定造成国有资产损失的行为。</w:t>
      </w:r>
    </w:p>
    <w:p w:rsidR="00ED4C3A" w:rsidRPr="00ED4C3A" w:rsidRDefault="004D0B67" w:rsidP="004D0B67">
      <w:pPr>
        <w:widowControl/>
        <w:shd w:val="clear" w:color="auto" w:fill="FFFFFF"/>
        <w:spacing w:line="600" w:lineRule="exac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00ED4C3A" w:rsidRPr="00ED4C3A">
        <w:rPr>
          <w:rFonts w:ascii="宋体" w:eastAsia="宋体" w:hAnsi="宋体" w:cs="宋体" w:hint="eastAsia"/>
          <w:color w:val="333333"/>
          <w:kern w:val="0"/>
          <w:sz w:val="24"/>
          <w:szCs w:val="24"/>
        </w:rPr>
        <w:t>第五十五条　各部门及其所属单位在国有资产管理工作中有违反预算管理规定行为的，依照《中华人民共和国预算法》及其实施条例、《财政违法行为处罚处分条例》等法律、行政法规追究责任。</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第五十六条　各部门及其所属单位的工作人员在国有资产管理工作中滥用职权、玩忽职守、徇私舞弊或者有浪费国有资产等违法违规行为的，由有关部门依法给予处分；构成犯罪的，依法追究刑事责任。</w:t>
      </w:r>
    </w:p>
    <w:p w:rsidR="00ED4C3A" w:rsidRPr="00ED4C3A" w:rsidRDefault="00ED4C3A" w:rsidP="00ED4C3A">
      <w:pPr>
        <w:widowControl/>
        <w:shd w:val="clear" w:color="auto" w:fill="FFFFFF"/>
        <w:spacing w:line="600" w:lineRule="exact"/>
        <w:ind w:firstLineChars="200" w:firstLine="482"/>
        <w:rPr>
          <w:rFonts w:ascii="宋体" w:eastAsia="宋体" w:hAnsi="宋体" w:cs="宋体" w:hint="eastAsia"/>
          <w:color w:val="333333"/>
          <w:kern w:val="0"/>
          <w:sz w:val="24"/>
          <w:szCs w:val="24"/>
        </w:rPr>
      </w:pPr>
      <w:r w:rsidRPr="00ED4C3A">
        <w:rPr>
          <w:rFonts w:ascii="宋体" w:eastAsia="宋体" w:hAnsi="宋体" w:cs="宋体" w:hint="eastAsia"/>
          <w:b/>
          <w:bCs/>
          <w:color w:val="333333"/>
          <w:kern w:val="0"/>
          <w:sz w:val="24"/>
          <w:szCs w:val="24"/>
        </w:rPr>
        <w:t>第八章　附　则</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lastRenderedPageBreak/>
        <w:t>第五十七条　除国家另有规定外，社会组织直接支配的行政事业性国有资产管理，依照本条例执行。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第五十八条　货币形式的行政事业性国有资产管理，按照预算管理有关规定执行。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执行企业财务、会计制度的事业单位以及事业单位对外投资的全资企业或者控股企业的资产管理，不适用本条例。</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第五十九条　公共基础设施、政府储备物资、国有文物文化等行政事业性国有资产管理的具体办法，由国务院财政部门会同有关部门制定。</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r w:rsidRPr="00ED4C3A">
        <w:rPr>
          <w:rFonts w:ascii="宋体" w:eastAsia="宋体" w:hAnsi="宋体" w:cs="宋体" w:hint="eastAsia"/>
          <w:color w:val="333333"/>
          <w:kern w:val="0"/>
          <w:sz w:val="24"/>
          <w:szCs w:val="24"/>
        </w:rPr>
        <w:t>第六十条　中国人民解放军、中国人民武装警察部队直接支配的行政事业性国有资产管理，依照中央军事委员会有关规定执行。</w:t>
      </w:r>
    </w:p>
    <w:p w:rsidR="00ED4C3A" w:rsidRPr="00ED4C3A" w:rsidRDefault="00ED4C3A" w:rsidP="00ED4C3A">
      <w:pPr>
        <w:widowControl/>
        <w:shd w:val="clear" w:color="auto" w:fill="FFFFFF"/>
        <w:spacing w:line="600" w:lineRule="exact"/>
        <w:ind w:firstLineChars="200" w:firstLine="480"/>
        <w:rPr>
          <w:rFonts w:ascii="宋体" w:eastAsia="宋体" w:hAnsi="宋体" w:cs="宋体" w:hint="eastAsia"/>
          <w:color w:val="333333"/>
          <w:kern w:val="0"/>
          <w:sz w:val="24"/>
          <w:szCs w:val="24"/>
        </w:rPr>
      </w:pPr>
      <w:bookmarkStart w:id="0" w:name="_GoBack"/>
      <w:bookmarkEnd w:id="0"/>
      <w:r w:rsidRPr="00ED4C3A">
        <w:rPr>
          <w:rFonts w:ascii="宋体" w:eastAsia="宋体" w:hAnsi="宋体" w:cs="宋体" w:hint="eastAsia"/>
          <w:color w:val="333333"/>
          <w:kern w:val="0"/>
          <w:sz w:val="24"/>
          <w:szCs w:val="24"/>
        </w:rPr>
        <w:t>第六十一条　本条例自2021年4月1日起施行。</w:t>
      </w:r>
    </w:p>
    <w:p w:rsidR="00AE626F" w:rsidRPr="00ED4C3A" w:rsidRDefault="004D0B67" w:rsidP="00ED4C3A">
      <w:pPr>
        <w:spacing w:line="600" w:lineRule="exact"/>
        <w:ind w:firstLineChars="200" w:firstLine="420"/>
      </w:pPr>
    </w:p>
    <w:sectPr w:rsidR="00AE626F" w:rsidRPr="00ED4C3A" w:rsidSect="00ED4C3A">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35"/>
    <w:rsid w:val="00072A03"/>
    <w:rsid w:val="000E0935"/>
    <w:rsid w:val="004D0B67"/>
    <w:rsid w:val="00DC256F"/>
    <w:rsid w:val="00ED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C3A"/>
    <w:rPr>
      <w:sz w:val="18"/>
      <w:szCs w:val="18"/>
    </w:rPr>
  </w:style>
  <w:style w:type="character" w:customStyle="1" w:styleId="Char">
    <w:name w:val="批注框文本 Char"/>
    <w:basedOn w:val="a0"/>
    <w:link w:val="a3"/>
    <w:uiPriority w:val="99"/>
    <w:semiHidden/>
    <w:rsid w:val="00ED4C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C3A"/>
    <w:rPr>
      <w:sz w:val="18"/>
      <w:szCs w:val="18"/>
    </w:rPr>
  </w:style>
  <w:style w:type="character" w:customStyle="1" w:styleId="Char">
    <w:name w:val="批注框文本 Char"/>
    <w:basedOn w:val="a0"/>
    <w:link w:val="a3"/>
    <w:uiPriority w:val="99"/>
    <w:semiHidden/>
    <w:rsid w:val="00ED4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21008">
      <w:bodyDiv w:val="1"/>
      <w:marLeft w:val="0"/>
      <w:marRight w:val="0"/>
      <w:marTop w:val="0"/>
      <w:marBottom w:val="0"/>
      <w:divBdr>
        <w:top w:val="none" w:sz="0" w:space="0" w:color="auto"/>
        <w:left w:val="none" w:sz="0" w:space="0" w:color="auto"/>
        <w:bottom w:val="none" w:sz="0" w:space="0" w:color="auto"/>
        <w:right w:val="none" w:sz="0" w:space="0" w:color="auto"/>
      </w:divBdr>
      <w:divsChild>
        <w:div w:id="985624991">
          <w:marLeft w:val="0"/>
          <w:marRight w:val="0"/>
          <w:marTop w:val="0"/>
          <w:marBottom w:val="300"/>
          <w:divBdr>
            <w:top w:val="none" w:sz="0" w:space="0" w:color="auto"/>
            <w:left w:val="none" w:sz="0" w:space="0" w:color="auto"/>
            <w:bottom w:val="single" w:sz="6" w:space="0" w:color="E5E5E5"/>
            <w:right w:val="none" w:sz="0" w:space="0" w:color="auto"/>
          </w:divBdr>
          <w:divsChild>
            <w:div w:id="1949770786">
              <w:marLeft w:val="0"/>
              <w:marRight w:val="0"/>
              <w:marTop w:val="0"/>
              <w:marBottom w:val="0"/>
              <w:divBdr>
                <w:top w:val="none" w:sz="0" w:space="0" w:color="auto"/>
                <w:left w:val="none" w:sz="0" w:space="0" w:color="auto"/>
                <w:bottom w:val="none" w:sz="0" w:space="0" w:color="auto"/>
                <w:right w:val="none" w:sz="0" w:space="0" w:color="auto"/>
              </w:divBdr>
              <w:divsChild>
                <w:div w:id="1496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039">
          <w:marLeft w:val="0"/>
          <w:marRight w:val="0"/>
          <w:marTop w:val="0"/>
          <w:marBottom w:val="0"/>
          <w:divBdr>
            <w:top w:val="none" w:sz="0" w:space="0" w:color="auto"/>
            <w:left w:val="none" w:sz="0" w:space="0" w:color="auto"/>
            <w:bottom w:val="none" w:sz="0" w:space="0" w:color="auto"/>
            <w:right w:val="none" w:sz="0" w:space="0" w:color="auto"/>
          </w:divBdr>
          <w:divsChild>
            <w:div w:id="34933904">
              <w:marLeft w:val="0"/>
              <w:marRight w:val="0"/>
              <w:marTop w:val="0"/>
              <w:marBottom w:val="0"/>
              <w:divBdr>
                <w:top w:val="none" w:sz="0" w:space="0" w:color="auto"/>
                <w:left w:val="none" w:sz="0" w:space="0" w:color="auto"/>
                <w:bottom w:val="none" w:sz="0" w:space="0" w:color="auto"/>
                <w:right w:val="none" w:sz="0" w:space="0" w:color="auto"/>
              </w:divBdr>
              <w:divsChild>
                <w:div w:id="35751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79B2-0B20-4328-ABB5-034FB934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893</Words>
  <Characters>5093</Characters>
  <Application>Microsoft Office Word</Application>
  <DocSecurity>0</DocSecurity>
  <Lines>42</Lines>
  <Paragraphs>11</Paragraphs>
  <ScaleCrop>false</ScaleCrop>
  <Company>Microsoft</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sdy</dc:creator>
  <cp:keywords/>
  <dc:description/>
  <cp:lastModifiedBy>sdy</cp:lastModifiedBy>
  <cp:revision>3</cp:revision>
  <dcterms:created xsi:type="dcterms:W3CDTF">2021-03-22T08:37:00Z</dcterms:created>
  <dcterms:modified xsi:type="dcterms:W3CDTF">2021-03-22T08:45:00Z</dcterms:modified>
</cp:coreProperties>
</file>